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1050" w:lineRule="atLeast"/>
        <w:jc w:val="center"/>
        <w:outlineLvl w:val="2"/>
        <w:rPr>
          <w:rFonts w:ascii="微软雅黑" w:hAnsi="微软雅黑" w:eastAsia="微软雅黑" w:cs="宋体"/>
          <w:color w:val="000000" w:themeColor="text1"/>
          <w:kern w:val="0"/>
          <w:sz w:val="36"/>
          <w:szCs w:val="36"/>
          <w14:textFill>
            <w14:solidFill>
              <w14:schemeClr w14:val="tx1"/>
            </w14:solidFill>
          </w14:textFill>
        </w:rPr>
      </w:pPr>
      <w:r>
        <w:rPr>
          <w:rFonts w:hint="eastAsia" w:ascii="微软雅黑" w:hAnsi="微软雅黑" w:eastAsia="微软雅黑" w:cs="宋体"/>
          <w:color w:val="000000" w:themeColor="text1"/>
          <w:kern w:val="0"/>
          <w:sz w:val="36"/>
          <w:szCs w:val="36"/>
          <w14:textFill>
            <w14:solidFill>
              <w14:schemeClr w14:val="tx1"/>
            </w14:solidFill>
          </w14:textFill>
        </w:rPr>
        <w:t>关于开展特需服务项目的</w:t>
      </w:r>
      <w:bookmarkStart w:id="0" w:name="_GoBack"/>
      <w:bookmarkEnd w:id="0"/>
      <w:r>
        <w:rPr>
          <w:rFonts w:hint="eastAsia" w:ascii="微软雅黑" w:hAnsi="微软雅黑" w:eastAsia="微软雅黑" w:cs="宋体"/>
          <w:color w:val="000000" w:themeColor="text1"/>
          <w:kern w:val="0"/>
          <w:sz w:val="36"/>
          <w:szCs w:val="36"/>
          <w14:textFill>
            <w14:solidFill>
              <w14:schemeClr w14:val="tx1"/>
            </w14:solidFill>
          </w14:textFill>
        </w:rPr>
        <w:t>公示</w:t>
      </w:r>
    </w:p>
    <w:p>
      <w:pPr>
        <w:widowControl/>
        <w:jc w:val="left"/>
        <w:rPr>
          <w:rFonts w:ascii="宋体" w:hAnsi="宋体" w:eastAsia="宋体" w:cs="宋体"/>
          <w:kern w:val="0"/>
          <w:sz w:val="24"/>
          <w:szCs w:val="24"/>
        </w:rPr>
      </w:pPr>
      <w:r>
        <w:rPr>
          <w:rFonts w:hint="eastAsia" w:ascii="微软雅黑" w:hAnsi="微软雅黑" w:eastAsia="微软雅黑" w:cs="宋体"/>
          <w:color w:val="878787"/>
          <w:kern w:val="0"/>
          <w:sz w:val="18"/>
        </w:rPr>
        <w:t>  </w:t>
      </w:r>
    </w:p>
    <w:p>
      <w:pPr>
        <w:widowControl/>
        <w:shd w:val="clear" w:color="auto" w:fill="FFFFFF"/>
        <w:spacing w:line="315" w:lineRule="atLeast"/>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各位病友：</w:t>
      </w:r>
    </w:p>
    <w:p>
      <w:pPr>
        <w:widowControl/>
        <w:shd w:val="clear" w:color="auto" w:fill="FFFFFF"/>
        <w:spacing w:line="315" w:lineRule="atLeast"/>
        <w:ind w:firstLine="480"/>
        <w:rPr>
          <w:rFonts w:ascii="微软雅黑" w:hAnsi="微软雅黑" w:eastAsia="宋体" w:cs="宋体"/>
          <w:color w:val="070707"/>
          <w:kern w:val="0"/>
          <w:szCs w:val="21"/>
        </w:rPr>
      </w:pPr>
      <w:r>
        <w:rPr>
          <w:rFonts w:hint="eastAsia" w:ascii="宋体" w:hAnsi="宋体" w:eastAsia="宋体" w:cs="宋体"/>
          <w:color w:val="070707"/>
          <w:kern w:val="0"/>
          <w:sz w:val="24"/>
          <w:szCs w:val="24"/>
        </w:rPr>
        <w:t>我院根据浙价费【2000】10号、浙价医【2015】137号文件精神，拟于近期开展特需医疗服务项目（具体内容详见附件），现根据物价政策予以公示。咨询电话：87255288</w:t>
      </w:r>
    </w:p>
    <w:p>
      <w:pPr>
        <w:widowControl/>
        <w:shd w:val="clear" w:color="auto" w:fill="FFFFFF"/>
        <w:spacing w:line="315" w:lineRule="atLeast"/>
        <w:ind w:firstLine="480"/>
        <w:jc w:val="left"/>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公示时间：2020年10月26日至2020年10月30日</w:t>
      </w:r>
    </w:p>
    <w:p>
      <w:pPr>
        <w:widowControl/>
        <w:shd w:val="clear" w:color="auto" w:fill="FFFFFF"/>
        <w:spacing w:line="315" w:lineRule="atLeast"/>
        <w:ind w:firstLine="480"/>
        <w:jc w:val="left"/>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特此公告！</w:t>
      </w:r>
    </w:p>
    <w:p>
      <w:pPr>
        <w:widowControl/>
        <w:shd w:val="clear" w:color="auto" w:fill="FFFFFF"/>
        <w:spacing w:line="315" w:lineRule="atLeast"/>
        <w:ind w:firstLine="480"/>
        <w:jc w:val="left"/>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附件：玉环市中医院特需医疗服务项目公示表</w:t>
      </w:r>
    </w:p>
    <w:p>
      <w:pPr>
        <w:widowControl/>
        <w:shd w:val="clear" w:color="auto" w:fill="FFFFFF"/>
        <w:spacing w:line="315" w:lineRule="atLeast"/>
        <w:jc w:val="right"/>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玉环市中医院</w:t>
      </w:r>
    </w:p>
    <w:p>
      <w:pPr>
        <w:widowControl/>
        <w:shd w:val="clear" w:color="auto" w:fill="FFFFFF"/>
        <w:spacing w:line="315" w:lineRule="atLeast"/>
        <w:jc w:val="right"/>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2020年10月26日</w:t>
      </w:r>
    </w:p>
    <w:p>
      <w:pPr>
        <w:widowControl/>
        <w:shd w:val="clear" w:color="auto" w:fill="FFFFFF"/>
        <w:spacing w:line="315" w:lineRule="atLeast"/>
        <w:jc w:val="center"/>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              </w:t>
      </w:r>
    </w:p>
    <w:p>
      <w:pPr>
        <w:widowControl/>
        <w:shd w:val="clear" w:color="auto" w:fill="FFFFFF"/>
        <w:spacing w:line="315" w:lineRule="atLeast"/>
        <w:jc w:val="center"/>
        <w:rPr>
          <w:rFonts w:ascii="微软雅黑" w:hAnsi="微软雅黑" w:eastAsia="微软雅黑" w:cs="宋体"/>
          <w:color w:val="070707"/>
          <w:kern w:val="0"/>
          <w:szCs w:val="21"/>
        </w:rPr>
      </w:pPr>
      <w:r>
        <w:rPr>
          <w:rFonts w:hint="eastAsia" w:ascii="宋体" w:hAnsi="宋体" w:eastAsia="宋体" w:cs="宋体"/>
          <w:color w:val="070707"/>
          <w:kern w:val="0"/>
          <w:sz w:val="24"/>
          <w:szCs w:val="24"/>
        </w:rPr>
        <w:t>附件：</w:t>
      </w:r>
      <w:r>
        <w:rPr>
          <w:rFonts w:hint="eastAsia" w:ascii="宋体" w:hAnsi="宋体" w:eastAsia="宋体" w:cs="宋体"/>
          <w:b/>
          <w:bCs/>
          <w:color w:val="070707"/>
          <w:kern w:val="0"/>
          <w:sz w:val="29"/>
          <w:szCs w:val="29"/>
        </w:rPr>
        <w:t> 玉环市中医院特需医疗服</w:t>
      </w:r>
      <w:r>
        <w:rPr>
          <w:rFonts w:hint="eastAsia" w:ascii="宋体" w:hAnsi="宋体" w:eastAsia="宋体" w:cs="宋体"/>
          <w:color w:val="070707"/>
          <w:kern w:val="0"/>
          <w:sz w:val="29"/>
          <w:szCs w:val="29"/>
        </w:rPr>
        <w:t>务项目公示表</w:t>
      </w:r>
    </w:p>
    <w:tbl>
      <w:tblPr>
        <w:tblStyle w:val="9"/>
        <w:tblpPr w:leftFromText="180" w:rightFromText="180" w:vertAnchor="text" w:horzAnchor="page" w:tblpX="1187" w:tblpY="471"/>
        <w:tblOverlap w:val="never"/>
        <w:tblW w:w="98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17"/>
        <w:gridCol w:w="4377"/>
        <w:gridCol w:w="573"/>
        <w:gridCol w:w="590"/>
        <w:gridCol w:w="967"/>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816"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项目编号</w:t>
            </w:r>
          </w:p>
        </w:tc>
        <w:tc>
          <w:tcPr>
            <w:tcW w:w="817"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项目名称</w:t>
            </w:r>
          </w:p>
        </w:tc>
        <w:tc>
          <w:tcPr>
            <w:tcW w:w="4377"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项目内涵</w:t>
            </w:r>
          </w:p>
        </w:tc>
        <w:tc>
          <w:tcPr>
            <w:tcW w:w="573"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除外</w:t>
            </w:r>
          </w:p>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内容</w:t>
            </w:r>
          </w:p>
        </w:tc>
        <w:tc>
          <w:tcPr>
            <w:tcW w:w="590"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计价单位</w:t>
            </w:r>
          </w:p>
        </w:tc>
        <w:tc>
          <w:tcPr>
            <w:tcW w:w="967"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价格</w:t>
            </w:r>
          </w:p>
        </w:tc>
        <w:tc>
          <w:tcPr>
            <w:tcW w:w="1693" w:type="dxa"/>
            <w:vAlign w:val="center"/>
          </w:tcPr>
          <w:p>
            <w:pPr>
              <w:widowControl/>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16" w:type="dxa"/>
            <w:vAlign w:val="center"/>
          </w:tcPr>
          <w:p>
            <w:pPr>
              <w:widowControl/>
              <w:spacing w:line="315" w:lineRule="atLeast"/>
              <w:jc w:val="center"/>
              <w:rPr>
                <w:rFonts w:ascii="宋体" w:hAnsi="宋体" w:eastAsia="宋体" w:cs="宋体"/>
                <w:b/>
                <w:bCs/>
                <w:color w:val="070707"/>
                <w:kern w:val="0"/>
                <w:sz w:val="24"/>
                <w:szCs w:val="24"/>
              </w:rPr>
            </w:pPr>
          </w:p>
        </w:tc>
        <w:tc>
          <w:tcPr>
            <w:tcW w:w="817" w:type="dxa"/>
            <w:vAlign w:val="center"/>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特约专家门诊</w:t>
            </w:r>
          </w:p>
        </w:tc>
        <w:tc>
          <w:tcPr>
            <w:tcW w:w="4377" w:type="dxa"/>
            <w:vAlign w:val="center"/>
          </w:tcPr>
          <w:p>
            <w:pPr>
              <w:pStyle w:val="7"/>
              <w:spacing w:before="0" w:beforeAutospacing="0" w:after="0" w:afterAutospacing="0"/>
              <w:jc w:val="both"/>
              <w:rPr>
                <w:bCs/>
              </w:rPr>
            </w:pPr>
            <w:r>
              <w:rPr>
                <w:rStyle w:val="11"/>
                <w:rFonts w:hint="eastAsia"/>
                <w:b w:val="0"/>
                <w:bCs/>
              </w:rPr>
              <w:t>周时高</w:t>
            </w:r>
          </w:p>
          <w:p>
            <w:pPr>
              <w:pStyle w:val="7"/>
              <w:spacing w:before="0" w:beforeAutospacing="0" w:after="0" w:afterAutospacing="0"/>
              <w:jc w:val="both"/>
              <w:rPr>
                <w:bCs/>
              </w:rPr>
            </w:pPr>
            <w:r>
              <w:rPr>
                <w:rStyle w:val="11"/>
                <w:rFonts w:hint="eastAsia"/>
                <w:b w:val="0"/>
                <w:bCs/>
              </w:rPr>
              <w:t>主任医师、教授、硕士生导师、上海传统医学工程协会膏方分会主任委员</w:t>
            </w:r>
          </w:p>
          <w:p>
            <w:pPr>
              <w:pStyle w:val="7"/>
              <w:spacing w:before="0" w:beforeAutospacing="0" w:after="0" w:afterAutospacing="0"/>
              <w:ind w:firstLine="420"/>
              <w:jc w:val="both"/>
              <w:rPr>
                <w:bCs/>
                <w:color w:val="000000"/>
              </w:rPr>
            </w:pPr>
            <w:r>
              <w:rPr>
                <w:rFonts w:hint="eastAsia"/>
                <w:bCs/>
                <w:color w:val="000000"/>
              </w:rPr>
              <w:t>上海中医药大学附属龙华医院内科主任医师，任中医示范科主任（原大内科主任），中医经典病房主任，国家重点学科中医养生学学科带头人，国家卫生健康委员会＂十三五＂规划教材 全国高等中医药教育教材《中医养生学导论》主编。兼任中华中医药学会健康管理分会常务委员，中国中医药促进会基层中医能力提升工作委员会常务委员，世界中医药联合会老年医学分会常务理事。上海市名中医陈湘君教授学术继承人。</w:t>
            </w:r>
          </w:p>
          <w:p>
            <w:pPr>
              <w:pStyle w:val="7"/>
              <w:spacing w:before="0" w:beforeAutospacing="0" w:after="0" w:afterAutospacing="0"/>
              <w:ind w:firstLine="420"/>
              <w:jc w:val="both"/>
            </w:pPr>
            <w:r>
              <w:rPr>
                <w:rFonts w:hint="eastAsia"/>
                <w:color w:val="000000"/>
              </w:rPr>
              <w:t>出生中医家庭，幼承家学。大学毕业后师从上海市名中医陈湘君教授，从事内科临床三十余年，临证注重顾护正气，善调阴阳平衡，用药轻灵，疗效显著。中医中药治疗风湿免疫、代谢类疾病的研究成果先后获上海市科技进步奖三项。</w:t>
            </w:r>
          </w:p>
          <w:p>
            <w:pPr>
              <w:pStyle w:val="7"/>
              <w:spacing w:before="0" w:beforeAutospacing="0" w:after="0" w:afterAutospacing="0"/>
              <w:ind w:firstLine="420"/>
              <w:jc w:val="both"/>
              <w:rPr>
                <w:b/>
                <w:bCs/>
                <w:color w:val="070707"/>
              </w:rPr>
            </w:pPr>
            <w:r>
              <w:rPr>
                <w:rStyle w:val="11"/>
                <w:rFonts w:hint="eastAsia"/>
                <w:b w:val="0"/>
                <w:color w:val="000000" w:themeColor="text1"/>
              </w:rPr>
              <w:t>擅长</w:t>
            </w:r>
            <w:r>
              <w:rPr>
                <w:rStyle w:val="11"/>
                <w:rFonts w:hint="eastAsia"/>
                <w:color w:val="000000" w:themeColor="text1"/>
              </w:rPr>
              <w:t>：</w:t>
            </w:r>
            <w:r>
              <w:rPr>
                <w:rFonts w:hint="eastAsia"/>
                <w:color w:val="000000"/>
              </w:rPr>
              <w:t>内科疾病特别是风湿免疫、代谢类疾病，内科疑难杂症的中医治疗；慢病健康管理与虚证的中医调理等。</w:t>
            </w:r>
          </w:p>
        </w:tc>
        <w:tc>
          <w:tcPr>
            <w:tcW w:w="573" w:type="dxa"/>
            <w:vAlign w:val="center"/>
          </w:tcPr>
          <w:p>
            <w:pPr>
              <w:widowControl/>
              <w:spacing w:line="315" w:lineRule="atLeast"/>
              <w:jc w:val="center"/>
              <w:rPr>
                <w:rFonts w:ascii="宋体" w:hAnsi="宋体" w:eastAsia="宋体" w:cs="宋体"/>
                <w:b/>
                <w:bCs/>
                <w:color w:val="070707"/>
                <w:kern w:val="0"/>
                <w:sz w:val="24"/>
                <w:szCs w:val="24"/>
              </w:rPr>
            </w:pPr>
          </w:p>
        </w:tc>
        <w:tc>
          <w:tcPr>
            <w:tcW w:w="590" w:type="dxa"/>
            <w:vAlign w:val="center"/>
          </w:tcPr>
          <w:p>
            <w:pPr>
              <w:widowControl/>
              <w:spacing w:line="315" w:lineRule="atLeast"/>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人次</w:t>
            </w:r>
          </w:p>
        </w:tc>
        <w:tc>
          <w:tcPr>
            <w:tcW w:w="967" w:type="dxa"/>
            <w:vAlign w:val="center"/>
          </w:tcPr>
          <w:p>
            <w:pPr>
              <w:widowControl/>
              <w:spacing w:line="315" w:lineRule="atLeast"/>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200元</w:t>
            </w:r>
          </w:p>
        </w:tc>
        <w:tc>
          <w:tcPr>
            <w:tcW w:w="1693" w:type="dxa"/>
            <w:vAlign w:val="center"/>
          </w:tcPr>
          <w:p>
            <w:pPr>
              <w:widowControl/>
              <w:spacing w:line="315" w:lineRule="atLeast"/>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pStyle w:val="7"/>
              <w:spacing w:before="0" w:beforeAutospacing="0" w:after="0" w:afterAutospacing="0"/>
              <w:rPr>
                <w:bCs/>
              </w:rPr>
            </w:pPr>
            <w:r>
              <w:rPr>
                <w:rStyle w:val="11"/>
                <w:rFonts w:hint="eastAsia"/>
                <w:b w:val="0"/>
                <w:bCs/>
              </w:rPr>
              <w:t>倪伟</w:t>
            </w:r>
          </w:p>
          <w:p>
            <w:pPr>
              <w:pStyle w:val="7"/>
              <w:spacing w:before="0" w:beforeAutospacing="0" w:after="0" w:afterAutospacing="0"/>
              <w:rPr>
                <w:bCs/>
              </w:rPr>
            </w:pPr>
            <w:r>
              <w:rPr>
                <w:rStyle w:val="11"/>
                <w:rFonts w:hint="eastAsia"/>
                <w:b w:val="0"/>
                <w:bCs/>
              </w:rPr>
              <w:t>主任医师、教授、上海浦东名中医、第三批全国优秀中医临床人才</w:t>
            </w:r>
          </w:p>
          <w:p>
            <w:pPr>
              <w:pStyle w:val="7"/>
              <w:spacing w:before="0" w:beforeAutospacing="0" w:after="0" w:afterAutospacing="0"/>
              <w:ind w:firstLine="420"/>
              <w:rPr>
                <w:bCs/>
              </w:rPr>
            </w:pPr>
            <w:r>
              <w:rPr>
                <w:rFonts w:hint="eastAsia"/>
                <w:bCs/>
              </w:rPr>
              <w:t>现任上海中医药大学附属龙华医院浦东分院内科主任、上海市中医学会呼吸病分会副主任委员。师从全国名中医吴银根教授和邵长荣教授，先后承担、参与过多项国家、省部级课题，迄今以第一作者或通讯作者在中医药核心期刊上发表论文60余篇。从事中医临床工作近20年，主编全国中医药行业高等教育“十二五”、“十三五”规划教材《内科学》。</w:t>
            </w:r>
          </w:p>
          <w:p>
            <w:pPr>
              <w:pStyle w:val="7"/>
              <w:spacing w:before="0" w:beforeAutospacing="0" w:after="0" w:afterAutospacing="0"/>
              <w:ind w:firstLine="420"/>
              <w:rPr>
                <w:b/>
                <w:bCs/>
                <w:color w:val="070707"/>
              </w:rPr>
            </w:pPr>
            <w:r>
              <w:rPr>
                <w:rStyle w:val="11"/>
                <w:rFonts w:hint="eastAsia"/>
                <w:b w:val="0"/>
                <w:bCs/>
                <w:color w:val="000000" w:themeColor="text1"/>
              </w:rPr>
              <w:t>擅长：</w:t>
            </w:r>
            <w:r>
              <w:rPr>
                <w:rFonts w:hint="eastAsia"/>
                <w:bCs/>
              </w:rPr>
              <w:t>在中医药辨治支气管哮喘、慢性支气管炎、慢性咳嗽、支气管扩张、慢性阻塞性肺疾病，间质性肺炎等慢性呼吸道疾病方面积累较为丰富的临证经验。</w:t>
            </w: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rPr>
                <w:rFonts w:ascii="宋体" w:hAnsi="宋体" w:eastAsia="宋体" w:cs="宋体"/>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200元</w:t>
            </w:r>
          </w:p>
        </w:tc>
        <w:tc>
          <w:tcPr>
            <w:tcW w:w="1693" w:type="dxa"/>
          </w:tcPr>
          <w:p>
            <w:pPr>
              <w:widowControl/>
              <w:spacing w:line="315" w:lineRule="atLeast"/>
              <w:jc w:val="center"/>
              <w:rPr>
                <w:rFonts w:ascii="宋体" w:hAnsi="宋体" w:eastAsia="宋体" w:cs="宋体"/>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pStyle w:val="7"/>
              <w:spacing w:before="0" w:beforeAutospacing="0" w:after="0" w:afterAutospacing="0"/>
              <w:jc w:val="both"/>
              <w:rPr>
                <w:bCs/>
              </w:rPr>
            </w:pPr>
            <w:r>
              <w:rPr>
                <w:rStyle w:val="11"/>
                <w:rFonts w:hint="eastAsia"/>
                <w:b w:val="0"/>
                <w:bCs/>
              </w:rPr>
              <w:t>李越华</w:t>
            </w:r>
          </w:p>
          <w:p>
            <w:pPr>
              <w:pStyle w:val="7"/>
              <w:spacing w:before="0" w:beforeAutospacing="0" w:after="0" w:afterAutospacing="0"/>
              <w:jc w:val="both"/>
              <w:rPr>
                <w:bCs/>
              </w:rPr>
            </w:pPr>
            <w:r>
              <w:rPr>
                <w:rStyle w:val="11"/>
                <w:rFonts w:hint="eastAsia"/>
                <w:b w:val="0"/>
                <w:bCs/>
              </w:rPr>
              <w:t>主任医师、教授、研究生导师、上海市传统医学工程协会膏方分会副会长</w:t>
            </w:r>
          </w:p>
          <w:p>
            <w:pPr>
              <w:pStyle w:val="7"/>
              <w:spacing w:before="0" w:beforeAutospacing="0" w:after="0" w:afterAutospacing="0"/>
              <w:ind w:firstLine="480" w:firstLineChars="200"/>
              <w:jc w:val="both"/>
              <w:rPr>
                <w:bCs/>
              </w:rPr>
            </w:pPr>
            <w:r>
              <w:rPr>
                <w:rFonts w:hint="eastAsia"/>
                <w:bCs/>
              </w:rPr>
              <w:t xml:space="preserve">中国中医药信息研究会膏方分会常务理事；上海市中医药学会老年病分会常委；中国中西医结合学会重症医学专业委员会委员；上海市中西医结合学会重症医学专业委员会副主任委员；曾经任上海中医药大学附属上海市中医医院老年病科行政主任及重症医学科主任。 </w:t>
            </w:r>
            <w:r>
              <w:rPr>
                <w:rFonts w:hint="eastAsia"/>
                <w:bCs/>
                <w:color w:val="000000"/>
                <w:spacing w:val="15"/>
              </w:rPr>
              <w:t xml:space="preserve"> </w:t>
            </w:r>
            <w:r>
              <w:rPr>
                <w:rFonts w:hint="eastAsia"/>
                <w:bCs/>
              </w:rPr>
              <w:t>师从上海名老中医林钟香教授，从医近四十年，曾长期在上海龙华医院及上海市中医医院工作；具有独到的诊疗经验，往往收到桴鼓杆影之效。</w:t>
            </w:r>
          </w:p>
          <w:p>
            <w:pPr>
              <w:pStyle w:val="7"/>
              <w:spacing w:before="0" w:beforeAutospacing="0" w:after="0" w:afterAutospacing="0"/>
              <w:ind w:firstLine="420"/>
              <w:jc w:val="both"/>
              <w:rPr>
                <w:bCs/>
              </w:rPr>
            </w:pPr>
            <w:r>
              <w:rPr>
                <w:rStyle w:val="11"/>
                <w:rFonts w:hint="eastAsia"/>
                <w:b w:val="0"/>
                <w:bCs/>
                <w:color w:val="000000" w:themeColor="text1"/>
              </w:rPr>
              <w:t>擅长：</w:t>
            </w:r>
            <w:r>
              <w:rPr>
                <w:rFonts w:hint="eastAsia"/>
                <w:bCs/>
              </w:rPr>
              <w:t>应用中医及中西医结合方法治疗各种心脑血管疾病（冠心病、心肌梗塞、心力衰竭、中风及中风后遗症）、老年病、中医调理（中医养生及膏方调理）及内科疑难杂病。</w:t>
            </w:r>
          </w:p>
          <w:p>
            <w:pPr>
              <w:widowControl/>
              <w:spacing w:line="315" w:lineRule="atLeast"/>
              <w:jc w:val="center"/>
              <w:rPr>
                <w:rFonts w:ascii="宋体" w:hAnsi="宋体" w:eastAsia="宋体" w:cs="宋体"/>
                <w:b/>
                <w:bCs/>
                <w:color w:val="070707"/>
                <w:kern w:val="0"/>
                <w:sz w:val="24"/>
                <w:szCs w:val="24"/>
              </w:rPr>
            </w:pP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pStyle w:val="7"/>
              <w:spacing w:before="0" w:beforeAutospacing="0" w:after="0" w:afterAutospacing="0"/>
              <w:jc w:val="both"/>
              <w:rPr>
                <w:bCs/>
              </w:rPr>
            </w:pPr>
            <w:r>
              <w:rPr>
                <w:rStyle w:val="11"/>
                <w:rFonts w:hint="eastAsia"/>
                <w:b w:val="0"/>
                <w:bCs/>
              </w:rPr>
              <w:t>祝光礼</w:t>
            </w:r>
          </w:p>
          <w:p>
            <w:pPr>
              <w:pStyle w:val="7"/>
              <w:spacing w:before="0" w:beforeAutospacing="0" w:after="0" w:afterAutospacing="0"/>
              <w:jc w:val="both"/>
              <w:rPr>
                <w:bCs/>
              </w:rPr>
            </w:pPr>
            <w:r>
              <w:rPr>
                <w:rStyle w:val="11"/>
                <w:rFonts w:hint="eastAsia"/>
                <w:b w:val="0"/>
                <w:bCs/>
                <w:color w:val="000000"/>
              </w:rPr>
              <w:t>中西医结合主任医师、博士研究生导师、教授、第五批全国中医师承指导老师</w:t>
            </w:r>
          </w:p>
          <w:p>
            <w:pPr>
              <w:pStyle w:val="7"/>
              <w:spacing w:before="0" w:beforeAutospacing="0" w:after="0" w:afterAutospacing="0"/>
              <w:ind w:firstLine="420"/>
              <w:jc w:val="both"/>
              <w:rPr>
                <w:bCs/>
              </w:rPr>
            </w:pPr>
            <w:r>
              <w:rPr>
                <w:rFonts w:hint="eastAsia"/>
                <w:bCs/>
              </w:rPr>
              <w:t>浙江省名中医、国家中医药管理局“十一五”、“十二五”中医心血管重点专科学科带头人，祝光礼名中医工作室负责人，杭州市中医院学术主任，杭州师范大学附属医院“治未病与健康管理”中心首席专家。兼任中华中医药学会心血管介入专业委员会常务委员、浙江省中西医结合学会第二届、第三届心血管专业委员会主任委员、浙江省中西医结合学会第四届顾问、浙江省中西医结合学会康复和保健专业委员会副主任委员。长期从事临床、教学和科研工作47年。</w:t>
            </w:r>
          </w:p>
          <w:p>
            <w:pPr>
              <w:pStyle w:val="7"/>
              <w:spacing w:before="0" w:beforeAutospacing="0" w:after="0" w:afterAutospacing="0"/>
              <w:ind w:firstLine="420"/>
              <w:jc w:val="both"/>
              <w:rPr>
                <w:b/>
                <w:bCs/>
                <w:color w:val="070707"/>
              </w:rPr>
            </w:pPr>
            <w:r>
              <w:rPr>
                <w:rStyle w:val="11"/>
                <w:rFonts w:hint="eastAsia"/>
                <w:b w:val="0"/>
                <w:bCs/>
                <w:color w:val="000000" w:themeColor="text1"/>
              </w:rPr>
              <w:t>擅长：</w:t>
            </w:r>
            <w:r>
              <w:rPr>
                <w:rFonts w:hint="eastAsia"/>
                <w:bCs/>
              </w:rPr>
              <w:t>临床中西医结合进行冠心病、高血压病、心律失常、心力衰竭等心血管常见病、多发病及疑难重症疾病的诊治工作，疗效显著，深得省内乃至全国同道认可。</w:t>
            </w: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pStyle w:val="7"/>
              <w:spacing w:before="0" w:beforeAutospacing="0" w:after="0" w:afterAutospacing="0"/>
              <w:jc w:val="both"/>
              <w:rPr>
                <w:bCs/>
              </w:rPr>
            </w:pPr>
            <w:r>
              <w:rPr>
                <w:rStyle w:val="11"/>
                <w:rFonts w:hint="eastAsia"/>
                <w:b w:val="0"/>
                <w:bCs/>
              </w:rPr>
              <w:t>陈铁龙</w:t>
            </w:r>
          </w:p>
          <w:p>
            <w:pPr>
              <w:pStyle w:val="7"/>
              <w:spacing w:before="0" w:beforeAutospacing="0" w:after="0" w:afterAutospacing="0"/>
              <w:jc w:val="both"/>
              <w:rPr>
                <w:bCs/>
              </w:rPr>
            </w:pPr>
            <w:r>
              <w:rPr>
                <w:rStyle w:val="11"/>
                <w:rFonts w:hint="eastAsia"/>
                <w:b w:val="0"/>
                <w:bCs/>
              </w:rPr>
              <w:t>杭州市中医院心内科主任、主任医师、硕士研究生导师、医学博士</w:t>
            </w:r>
          </w:p>
          <w:p>
            <w:pPr>
              <w:pStyle w:val="7"/>
              <w:spacing w:before="0" w:beforeAutospacing="0" w:after="0" w:afterAutospacing="0"/>
              <w:ind w:firstLine="420"/>
              <w:jc w:val="both"/>
              <w:rPr>
                <w:bCs/>
              </w:rPr>
            </w:pPr>
            <w:r>
              <w:rPr>
                <w:rFonts w:hint="eastAsia"/>
                <w:bCs/>
              </w:rPr>
              <w:t>毕业于浙江大学，现为世界中医药联合会介入心脏病专业理事会理事、中国中西医结合心血管分会青年委员、心律失常专业委员、浙江省中西医结合心血管学会专业委员会委员、杭州医学会心血管分会委员、杭州市中西医结合心血管分会副主任委员。</w:t>
            </w:r>
          </w:p>
          <w:p>
            <w:pPr>
              <w:pStyle w:val="7"/>
              <w:spacing w:before="0" w:beforeAutospacing="0" w:after="0" w:afterAutospacing="0"/>
              <w:ind w:firstLine="420"/>
              <w:jc w:val="both"/>
              <w:rPr>
                <w:b/>
                <w:bCs/>
                <w:color w:val="070707"/>
              </w:rPr>
            </w:pPr>
            <w:r>
              <w:rPr>
                <w:rStyle w:val="11"/>
                <w:rFonts w:hint="eastAsia"/>
                <w:b w:val="0"/>
                <w:bCs/>
                <w:color w:val="000000" w:themeColor="text1"/>
              </w:rPr>
              <w:t>擅长：</w:t>
            </w:r>
            <w:r>
              <w:rPr>
                <w:rFonts w:hint="eastAsia"/>
                <w:bCs/>
              </w:rPr>
              <w:t>心血管介入治疗（冠状动脉介入、起搏器植入、射频消融、结构性心脏病等各类手术），疑难重症心血管疾病中西医结合诊疗。</w:t>
            </w: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100元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color w:val="070707"/>
                <w:kern w:val="0"/>
                <w:sz w:val="24"/>
                <w:szCs w:val="24"/>
              </w:rPr>
            </w:pPr>
          </w:p>
        </w:tc>
        <w:tc>
          <w:tcPr>
            <w:tcW w:w="4377" w:type="dxa"/>
          </w:tcPr>
          <w:p>
            <w:pPr>
              <w:pStyle w:val="7"/>
              <w:spacing w:before="0" w:beforeAutospacing="0" w:after="0" w:afterAutospacing="0"/>
            </w:pPr>
            <w:r>
              <w:rPr>
                <w:rStyle w:val="11"/>
                <w:rFonts w:hint="eastAsia"/>
                <w:b w:val="0"/>
              </w:rPr>
              <w:t>陈启兰</w:t>
            </w:r>
          </w:p>
          <w:p>
            <w:pPr>
              <w:pStyle w:val="7"/>
              <w:spacing w:before="0" w:beforeAutospacing="0" w:after="0" w:afterAutospacing="0"/>
            </w:pPr>
            <w:r>
              <w:rPr>
                <w:rStyle w:val="11"/>
                <w:rFonts w:hint="eastAsia"/>
                <w:b w:val="0"/>
              </w:rPr>
              <w:t>杭州市中医院心血管病科主任中医师、硕士生研究生导师、中医学博士、</w:t>
            </w:r>
            <w:r>
              <w:rPr>
                <w:rStyle w:val="11"/>
                <w:rFonts w:hint="eastAsia"/>
                <w:b w:val="0"/>
                <w:color w:val="000000" w:themeColor="text1"/>
              </w:rPr>
              <w:t>中医师承博士、</w:t>
            </w:r>
            <w:r>
              <w:rPr>
                <w:rStyle w:val="11"/>
                <w:rFonts w:hint="eastAsia"/>
                <w:b w:val="0"/>
              </w:rPr>
              <w:t>第四批全国中医临床优秀人才培养对象。</w:t>
            </w:r>
          </w:p>
          <w:p>
            <w:pPr>
              <w:pStyle w:val="7"/>
              <w:spacing w:before="0" w:beforeAutospacing="0" w:after="0" w:afterAutospacing="0"/>
              <w:ind w:firstLine="420"/>
              <w:rPr>
                <w:color w:val="000000"/>
              </w:rPr>
            </w:pPr>
            <w:r>
              <w:rPr>
                <w:rFonts w:hint="eastAsia"/>
                <w:color w:val="000000"/>
              </w:rPr>
              <w:t>现任中国中医药研究促进会中西医结合心血管病预防与康复专委会常务委员、浙江省中医药学会内经学分会常务委员。</w:t>
            </w:r>
          </w:p>
          <w:p>
            <w:pPr>
              <w:pStyle w:val="7"/>
              <w:spacing w:before="0" w:beforeAutospacing="0" w:after="0" w:afterAutospacing="0"/>
              <w:ind w:firstLine="420"/>
              <w:rPr>
                <w:color w:val="070707"/>
              </w:rPr>
            </w:pPr>
            <w:r>
              <w:rPr>
                <w:rStyle w:val="11"/>
                <w:rFonts w:hint="eastAsia"/>
                <w:b w:val="0"/>
                <w:color w:val="000000" w:themeColor="text1"/>
              </w:rPr>
              <w:t>擅长：</w:t>
            </w:r>
            <w:r>
              <w:rPr>
                <w:rFonts w:hint="eastAsia"/>
                <w:color w:val="000000"/>
              </w:rPr>
              <w:t>中西医结合诊疗高血压病、冠心病、心律失常、心力衰竭、心脏神经症、脑供血不足等心血管疾病，并熟练运用中药煎药、中药免煎剂（颗粒剂）、丸剂、中药泡茶方、膏方、食疗等传统中医药方法。 </w:t>
            </w: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100元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widowControl/>
              <w:spacing w:line="315" w:lineRule="atLeast"/>
              <w:rPr>
                <w:rFonts w:ascii="宋体" w:hAnsi="宋体" w:eastAsia="宋体" w:cs="宋体"/>
                <w:color w:val="070707"/>
                <w:kern w:val="0"/>
                <w:sz w:val="24"/>
                <w:szCs w:val="24"/>
              </w:rPr>
            </w:pPr>
            <w:r>
              <w:rPr>
                <w:rFonts w:hint="eastAsia" w:ascii="宋体" w:hAnsi="宋体" w:eastAsia="宋体" w:cs="宋体"/>
                <w:color w:val="070707"/>
                <w:kern w:val="0"/>
                <w:sz w:val="24"/>
                <w:szCs w:val="24"/>
              </w:rPr>
              <w:t>魏丽萍</w:t>
            </w:r>
          </w:p>
          <w:p>
            <w:pPr>
              <w:widowControl/>
              <w:spacing w:line="315" w:lineRule="atLeast"/>
              <w:rPr>
                <w:rFonts w:ascii="宋体" w:hAnsi="宋体" w:eastAsia="宋体" w:cs="宋体"/>
                <w:color w:val="070707"/>
                <w:kern w:val="0"/>
                <w:sz w:val="24"/>
                <w:szCs w:val="24"/>
              </w:rPr>
            </w:pPr>
            <w:r>
              <w:rPr>
                <w:rFonts w:hint="eastAsia" w:ascii="宋体" w:hAnsi="宋体" w:eastAsia="宋体" w:cs="宋体"/>
                <w:color w:val="070707"/>
                <w:kern w:val="0"/>
                <w:sz w:val="24"/>
                <w:szCs w:val="24"/>
              </w:rPr>
              <w:t>副主任中医师、硕士、浙江省中西医结合学会心血管病专业委员会青年委员。省市课题多项立项，发表论文数篇。</w:t>
            </w:r>
          </w:p>
          <w:p>
            <w:pPr>
              <w:widowControl/>
              <w:spacing w:line="315" w:lineRule="atLeast"/>
              <w:rPr>
                <w:rFonts w:ascii="宋体" w:hAnsi="宋体" w:eastAsia="宋体" w:cs="宋体"/>
                <w:color w:val="070707"/>
                <w:kern w:val="0"/>
                <w:sz w:val="24"/>
                <w:szCs w:val="24"/>
              </w:rPr>
            </w:pPr>
            <w:r>
              <w:rPr>
                <w:rFonts w:hint="eastAsia" w:ascii="宋体" w:hAnsi="宋体" w:eastAsia="宋体" w:cs="宋体"/>
                <w:color w:val="070707"/>
                <w:kern w:val="0"/>
                <w:sz w:val="24"/>
                <w:szCs w:val="24"/>
              </w:rPr>
              <w:t>擅长：中西医结合治疗心血管常见疾病及多发疾病：高血压、冠心病、心律失常、心力衰竭、心脏神经症。</w:t>
            </w: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50元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widowControl/>
              <w:spacing w:line="315" w:lineRule="atLeast"/>
              <w:rPr>
                <w:rFonts w:ascii="宋体" w:hAnsi="宋体" w:eastAsia="宋体" w:cs="宋体"/>
                <w:color w:val="070707"/>
                <w:kern w:val="0"/>
                <w:sz w:val="24"/>
                <w:szCs w:val="24"/>
              </w:rPr>
            </w:pPr>
            <w:r>
              <w:rPr>
                <w:rFonts w:hint="eastAsia" w:ascii="宋体" w:hAnsi="宋体" w:eastAsia="宋体" w:cs="宋体"/>
                <w:color w:val="070707"/>
                <w:kern w:val="0"/>
                <w:sz w:val="24"/>
                <w:szCs w:val="24"/>
              </w:rPr>
              <w:t>周凡</w:t>
            </w:r>
          </w:p>
          <w:p>
            <w:pPr>
              <w:widowControl/>
              <w:spacing w:line="315" w:lineRule="atLeast"/>
              <w:rPr>
                <w:rFonts w:ascii="宋体" w:hAnsi="宋体" w:eastAsia="宋体" w:cs="宋体"/>
                <w:color w:val="070707"/>
                <w:kern w:val="0"/>
                <w:sz w:val="24"/>
                <w:szCs w:val="24"/>
              </w:rPr>
            </w:pPr>
            <w:r>
              <w:rPr>
                <w:rFonts w:hint="eastAsia" w:ascii="宋体" w:hAnsi="宋体" w:eastAsia="宋体" w:cs="宋体"/>
                <w:color w:val="070707"/>
                <w:kern w:val="0"/>
                <w:sz w:val="24"/>
                <w:szCs w:val="24"/>
              </w:rPr>
              <w:t>副主任中医师、硕士、浙江省中医药学会心血管病专业委员会青年委员。省市课题多项立项，发表论文数篇。</w:t>
            </w:r>
          </w:p>
          <w:p>
            <w:pPr>
              <w:widowControl/>
              <w:spacing w:line="315" w:lineRule="atLeast"/>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擅长：中西医结合诊治高血压病、冠心病、心律失常、心力衰竭、高脂血症等心血管疾病。</w:t>
            </w: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50元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widowControl/>
              <w:spacing w:line="315" w:lineRule="atLeast"/>
              <w:jc w:val="center"/>
              <w:rPr>
                <w:rFonts w:ascii="宋体" w:hAnsi="宋体" w:eastAsia="宋体" w:cs="宋体"/>
                <w:b/>
                <w:bCs/>
                <w:color w:val="070707"/>
                <w:kern w:val="0"/>
                <w:sz w:val="24"/>
                <w:szCs w:val="24"/>
              </w:rPr>
            </w:pPr>
          </w:p>
        </w:tc>
        <w:tc>
          <w:tcPr>
            <w:tcW w:w="817" w:type="dxa"/>
          </w:tcPr>
          <w:p>
            <w:pPr>
              <w:widowControl/>
              <w:spacing w:line="315" w:lineRule="atLeast"/>
              <w:jc w:val="center"/>
              <w:rPr>
                <w:rFonts w:ascii="宋体" w:hAnsi="宋体" w:eastAsia="宋体" w:cs="宋体"/>
                <w:b/>
                <w:bCs/>
                <w:color w:val="070707"/>
                <w:kern w:val="0"/>
                <w:sz w:val="24"/>
                <w:szCs w:val="24"/>
              </w:rPr>
            </w:pPr>
          </w:p>
        </w:tc>
        <w:tc>
          <w:tcPr>
            <w:tcW w:w="4377" w:type="dxa"/>
          </w:tcPr>
          <w:p>
            <w:pPr>
              <w:pStyle w:val="7"/>
              <w:spacing w:before="0" w:beforeAutospacing="0" w:after="0" w:afterAutospacing="0"/>
              <w:jc w:val="both"/>
              <w:rPr>
                <w:bCs/>
              </w:rPr>
            </w:pPr>
            <w:r>
              <w:rPr>
                <w:rStyle w:val="11"/>
                <w:rFonts w:hint="eastAsia"/>
                <w:b w:val="0"/>
                <w:bCs/>
              </w:rPr>
              <w:t>包剑锋</w:t>
            </w:r>
          </w:p>
          <w:p>
            <w:pPr>
              <w:pStyle w:val="7"/>
              <w:spacing w:before="0" w:beforeAutospacing="0" w:after="0" w:afterAutospacing="0"/>
              <w:jc w:val="both"/>
              <w:rPr>
                <w:bCs/>
              </w:rPr>
            </w:pPr>
            <w:r>
              <w:rPr>
                <w:rStyle w:val="11"/>
                <w:rFonts w:hint="eastAsia"/>
                <w:b w:val="0"/>
                <w:bCs/>
              </w:rPr>
              <w:t>杭州市西溪医院主任中医师、博士生导师、教授、医学博士</w:t>
            </w:r>
          </w:p>
          <w:p>
            <w:pPr>
              <w:pStyle w:val="7"/>
              <w:spacing w:before="0" w:beforeAutospacing="0" w:after="0" w:afterAutospacing="0"/>
              <w:ind w:firstLine="420"/>
              <w:jc w:val="both"/>
              <w:rPr>
                <w:bCs/>
              </w:rPr>
            </w:pPr>
            <w:r>
              <w:rPr>
                <w:rFonts w:hint="eastAsia"/>
                <w:bCs/>
              </w:rPr>
              <w:t>师从国家级名中医徐珊教授，中华医学会亚健康分会全国委员，世中联亚健康分会全国理事，杭州市131第二层次培养人选。中华中医药学会肝胆病分会常委，中国中西医结合学会肝病分会委员，中华实验和临床病毒学杂志编委等。现为浙江省中西医结合肝病重点学科后备学科带头人、浙江省省市共建感染病重点学科后备学科带头人。</w:t>
            </w:r>
          </w:p>
          <w:p>
            <w:pPr>
              <w:pStyle w:val="7"/>
              <w:spacing w:before="0" w:beforeAutospacing="0" w:after="0" w:afterAutospacing="0"/>
              <w:ind w:firstLine="420"/>
              <w:jc w:val="both"/>
              <w:rPr>
                <w:bCs/>
              </w:rPr>
            </w:pPr>
            <w:r>
              <w:rPr>
                <w:rStyle w:val="11"/>
                <w:rFonts w:hint="eastAsia"/>
                <w:b w:val="0"/>
                <w:bCs/>
                <w:color w:val="000000" w:themeColor="text1"/>
              </w:rPr>
              <w:t>擅长：</w:t>
            </w:r>
            <w:r>
              <w:rPr>
                <w:rFonts w:hint="eastAsia"/>
                <w:bCs/>
              </w:rPr>
              <w:t>各种慢性肝炎、脂肪肝、肝癌、慢性胃炎、结肠炎的中西医结合诊治，尤其对慢性肝病肝纤维化、肝结节病应用中西医结合方法的诊治经验丰富。</w:t>
            </w:r>
          </w:p>
          <w:p>
            <w:pPr>
              <w:widowControl/>
              <w:spacing w:line="315" w:lineRule="atLeast"/>
              <w:jc w:val="center"/>
              <w:rPr>
                <w:rFonts w:ascii="宋体" w:hAnsi="宋体" w:eastAsia="宋体" w:cs="宋体"/>
                <w:b/>
                <w:bCs/>
                <w:color w:val="070707"/>
                <w:kern w:val="0"/>
                <w:sz w:val="24"/>
                <w:szCs w:val="24"/>
              </w:rPr>
            </w:pPr>
          </w:p>
        </w:tc>
        <w:tc>
          <w:tcPr>
            <w:tcW w:w="573" w:type="dxa"/>
          </w:tcPr>
          <w:p>
            <w:pPr>
              <w:widowControl/>
              <w:spacing w:line="315" w:lineRule="atLeast"/>
              <w:jc w:val="center"/>
              <w:rPr>
                <w:rFonts w:ascii="宋体" w:hAnsi="宋体" w:eastAsia="宋体" w:cs="宋体"/>
                <w:b/>
                <w:bCs/>
                <w:color w:val="070707"/>
                <w:kern w:val="0"/>
                <w:sz w:val="24"/>
                <w:szCs w:val="24"/>
              </w:rPr>
            </w:pPr>
          </w:p>
        </w:tc>
        <w:tc>
          <w:tcPr>
            <w:tcW w:w="590"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人次</w:t>
            </w:r>
          </w:p>
        </w:tc>
        <w:tc>
          <w:tcPr>
            <w:tcW w:w="967"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100元</w:t>
            </w:r>
          </w:p>
        </w:tc>
        <w:tc>
          <w:tcPr>
            <w:tcW w:w="1693" w:type="dxa"/>
          </w:tcPr>
          <w:p>
            <w:pPr>
              <w:widowControl/>
              <w:spacing w:line="315" w:lineRule="atLeast"/>
              <w:jc w:val="center"/>
              <w:rPr>
                <w:rFonts w:ascii="宋体" w:hAnsi="宋体" w:eastAsia="宋体" w:cs="宋体"/>
                <w:b/>
                <w:bCs/>
                <w:color w:val="070707"/>
                <w:kern w:val="0"/>
                <w:sz w:val="24"/>
                <w:szCs w:val="24"/>
              </w:rPr>
            </w:pPr>
            <w:r>
              <w:rPr>
                <w:rFonts w:hint="eastAsia" w:ascii="宋体" w:hAnsi="宋体" w:eastAsia="宋体" w:cs="宋体"/>
                <w:color w:val="070707"/>
                <w:kern w:val="0"/>
                <w:sz w:val="24"/>
                <w:szCs w:val="24"/>
              </w:rPr>
              <w:t>2020年11月1日执行</w:t>
            </w:r>
          </w:p>
        </w:tc>
      </w:tr>
    </w:tbl>
    <w:p>
      <w:pPr>
        <w:widowControl/>
        <w:shd w:val="clear" w:color="auto" w:fill="FFFFFF"/>
        <w:spacing w:line="315" w:lineRule="atLeast"/>
        <w:jc w:val="center"/>
        <w:rPr>
          <w:rFonts w:ascii="宋体" w:hAnsi="宋体" w:eastAsia="宋体" w:cs="宋体"/>
          <w:b/>
          <w:bCs/>
          <w:color w:val="070707"/>
          <w:kern w:val="0"/>
          <w:sz w:val="24"/>
          <w:szCs w:val="24"/>
        </w:rPr>
      </w:pPr>
    </w:p>
    <w:p/>
    <w:sectPr>
      <w:pgSz w:w="11906" w:h="16838"/>
      <w:pgMar w:top="1644" w:right="1134" w:bottom="119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80FE4"/>
    <w:rsid w:val="00017AFE"/>
    <w:rsid w:val="0014766F"/>
    <w:rsid w:val="0047616C"/>
    <w:rsid w:val="004C219C"/>
    <w:rsid w:val="005038E5"/>
    <w:rsid w:val="00542EFD"/>
    <w:rsid w:val="00580FE4"/>
    <w:rsid w:val="005F709C"/>
    <w:rsid w:val="00612D14"/>
    <w:rsid w:val="00695BCC"/>
    <w:rsid w:val="006C689D"/>
    <w:rsid w:val="00757406"/>
    <w:rsid w:val="008F6ACF"/>
    <w:rsid w:val="009547D4"/>
    <w:rsid w:val="00B54576"/>
    <w:rsid w:val="00C070FE"/>
    <w:rsid w:val="00D27799"/>
    <w:rsid w:val="00DC079A"/>
    <w:rsid w:val="00E56597"/>
    <w:rsid w:val="1F7918C6"/>
    <w:rsid w:val="240E3FC5"/>
    <w:rsid w:val="44784DA3"/>
    <w:rsid w:val="469E4B18"/>
    <w:rsid w:val="4DAF4E90"/>
    <w:rsid w:val="629F2754"/>
    <w:rsid w:val="645602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3"/>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semiHidden/>
    <w:unhideWhenUsed/>
    <w:uiPriority w:val="99"/>
    <w:rPr>
      <w:sz w:val="18"/>
      <w:szCs w:val="18"/>
    </w:rPr>
  </w:style>
  <w:style w:type="paragraph" w:styleId="5">
    <w:name w:val="footer"/>
    <w:basedOn w:val="1"/>
    <w:link w:val="18"/>
    <w:semiHidden/>
    <w:unhideWhenUsed/>
    <w:uiPriority w:val="99"/>
    <w:pPr>
      <w:tabs>
        <w:tab w:val="center" w:pos="4153"/>
        <w:tab w:val="right" w:pos="8306"/>
      </w:tabs>
      <w:snapToGrid w:val="0"/>
      <w:jc w:val="left"/>
    </w:pPr>
    <w:rPr>
      <w:sz w:val="18"/>
      <w:szCs w:val="18"/>
    </w:rPr>
  </w:style>
  <w:style w:type="paragraph" w:styleId="6">
    <w:name w:val="header"/>
    <w:basedOn w:val="1"/>
    <w:link w:val="17"/>
    <w:semiHidden/>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semiHidden/>
    <w:unhideWhenUsed/>
    <w:qFormat/>
    <w:uiPriority w:val="99"/>
    <w:rPr>
      <w:color w:val="0000FF"/>
      <w:u w:val="single"/>
    </w:rPr>
  </w:style>
  <w:style w:type="character" w:customStyle="1" w:styleId="13">
    <w:name w:val="标题 3 Char"/>
    <w:basedOn w:val="10"/>
    <w:link w:val="3"/>
    <w:qFormat/>
    <w:uiPriority w:val="9"/>
    <w:rPr>
      <w:rFonts w:ascii="宋体" w:hAnsi="宋体" w:eastAsia="宋体" w:cs="宋体"/>
      <w:b/>
      <w:bCs/>
      <w:kern w:val="0"/>
      <w:sz w:val="27"/>
      <w:szCs w:val="27"/>
    </w:rPr>
  </w:style>
  <w:style w:type="character" w:customStyle="1" w:styleId="14">
    <w:name w:val="dianji"/>
    <w:basedOn w:val="10"/>
    <w:qFormat/>
    <w:uiPriority w:val="0"/>
  </w:style>
  <w:style w:type="character" w:customStyle="1" w:styleId="15">
    <w:name w:val="批注框文本 Char"/>
    <w:basedOn w:val="10"/>
    <w:link w:val="4"/>
    <w:semiHidden/>
    <w:qFormat/>
    <w:uiPriority w:val="99"/>
    <w:rPr>
      <w:sz w:val="18"/>
      <w:szCs w:val="18"/>
    </w:rPr>
  </w:style>
  <w:style w:type="character" w:customStyle="1" w:styleId="16">
    <w:name w:val="标题 1 Char"/>
    <w:basedOn w:val="10"/>
    <w:link w:val="2"/>
    <w:qFormat/>
    <w:uiPriority w:val="9"/>
    <w:rPr>
      <w:b/>
      <w:bCs/>
      <w:kern w:val="44"/>
      <w:sz w:val="44"/>
      <w:szCs w:val="44"/>
    </w:rPr>
  </w:style>
  <w:style w:type="character" w:customStyle="1" w:styleId="17">
    <w:name w:val="页眉 Char"/>
    <w:basedOn w:val="10"/>
    <w:link w:val="6"/>
    <w:semiHidden/>
    <w:uiPriority w:val="99"/>
    <w:rPr>
      <w:rFonts w:asciiTheme="minorHAnsi" w:hAnsiTheme="minorHAnsi" w:eastAsiaTheme="minorEastAsia" w:cstheme="minorBidi"/>
      <w:kern w:val="2"/>
      <w:sz w:val="18"/>
      <w:szCs w:val="18"/>
    </w:rPr>
  </w:style>
  <w:style w:type="character" w:customStyle="1" w:styleId="18">
    <w:name w:val="页脚 Char"/>
    <w:basedOn w:val="10"/>
    <w:link w:val="5"/>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388</Words>
  <Characters>2216</Characters>
  <Lines>18</Lines>
  <Paragraphs>5</Paragraphs>
  <TotalTime>11</TotalTime>
  <ScaleCrop>false</ScaleCrop>
  <LinksUpToDate>false</LinksUpToDate>
  <CharactersWithSpaces>2599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2020-10-21T07:24:00Z</dcterms:created>
  <dc:creator>zyyus</dc:creator>
  <cp:lastModifiedBy>阿小黄</cp:lastModifiedBy>
  <dcterms:modified xsi:type="dcterms:W3CDTF">2020-10-26T01:28:50Z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